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845BA" w14:textId="77777777" w:rsidR="00C23586" w:rsidRPr="00C23586" w:rsidRDefault="00C23586" w:rsidP="00C23586">
      <w:pPr>
        <w:rPr>
          <w:b/>
          <w:bCs/>
        </w:rPr>
      </w:pPr>
      <w:r w:rsidRPr="00C23586">
        <w:rPr>
          <w:b/>
          <w:bCs/>
        </w:rPr>
        <w:t>Halcyon Performing Arts Malpractice and Maladministration Policy</w:t>
      </w:r>
    </w:p>
    <w:p w14:paraId="1187C910" w14:textId="77777777" w:rsidR="00C23586" w:rsidRPr="00C23586" w:rsidRDefault="00C23586" w:rsidP="00C23586">
      <w:r w:rsidRPr="00C23586">
        <w:rPr>
          <w:b/>
          <w:bCs/>
        </w:rPr>
        <w:t>1. Introduction</w:t>
      </w:r>
    </w:p>
    <w:p w14:paraId="21393225" w14:textId="77777777" w:rsidR="00C23586" w:rsidRPr="00C23586" w:rsidRDefault="00C23586" w:rsidP="00C23586">
      <w:r w:rsidRPr="00C23586">
        <w:t xml:space="preserve">At Halcyon Performing Arts, we are committed to upholding the highest standards of integrity, fairness, and professionalism in all aspects of our work. This includes safeguarding the credibility of our examinations and </w:t>
      </w:r>
      <w:proofErr w:type="gramStart"/>
      <w:r w:rsidRPr="00C23586">
        <w:t>assessments, and</w:t>
      </w:r>
      <w:proofErr w:type="gramEnd"/>
      <w:r w:rsidRPr="00C23586">
        <w:t xml:space="preserve"> preventing any form of malpractice or maladministration. This policy outlines the measures we take to recognise, prevent, investigate, and report malpractice or maladministration, ensuring transparency and fairness in our processes.</w:t>
      </w:r>
    </w:p>
    <w:p w14:paraId="2A458C49" w14:textId="77777777" w:rsidR="00C23586" w:rsidRPr="00C23586" w:rsidRDefault="00C23586" w:rsidP="00C23586">
      <w:r w:rsidRPr="00C23586">
        <w:t xml:space="preserve">We define </w:t>
      </w:r>
      <w:r w:rsidRPr="00C23586">
        <w:rPr>
          <w:b/>
          <w:bCs/>
        </w:rPr>
        <w:t>malpractice</w:t>
      </w:r>
      <w:r w:rsidRPr="00C23586">
        <w:t xml:space="preserve"> as any act of dishonesty or unethical behaviour that undermines the integrity of the assessment process, while </w:t>
      </w:r>
      <w:r w:rsidRPr="00C23586">
        <w:rPr>
          <w:b/>
          <w:bCs/>
        </w:rPr>
        <w:t>maladministration</w:t>
      </w:r>
      <w:r w:rsidRPr="00C23586">
        <w:t xml:space="preserve"> refers to errors or failures in the implementation of procedures that could compromise the quality and fairness of the assessment process.</w:t>
      </w:r>
    </w:p>
    <w:p w14:paraId="49239400" w14:textId="77777777" w:rsidR="00C23586" w:rsidRPr="00C23586" w:rsidRDefault="00C23586" w:rsidP="00C23586">
      <w:r w:rsidRPr="00C23586">
        <w:rPr>
          <w:b/>
          <w:bCs/>
        </w:rPr>
        <w:t>2. Recognising and Identifying Malpractice and Maladministration</w:t>
      </w:r>
    </w:p>
    <w:p w14:paraId="74F1A8C7" w14:textId="77777777" w:rsidR="00C23586" w:rsidRPr="00C23586" w:rsidRDefault="00C23586" w:rsidP="00C23586">
      <w:r w:rsidRPr="00C23586">
        <w:t>We work proactively to recognise potential malpractice or maladministration through:</w:t>
      </w:r>
    </w:p>
    <w:p w14:paraId="75E4BFE5" w14:textId="77777777" w:rsidR="00C23586" w:rsidRPr="00C23586" w:rsidRDefault="00C23586" w:rsidP="00C23586">
      <w:pPr>
        <w:numPr>
          <w:ilvl w:val="0"/>
          <w:numId w:val="1"/>
        </w:numPr>
      </w:pPr>
      <w:r w:rsidRPr="00C23586">
        <w:rPr>
          <w:b/>
          <w:bCs/>
        </w:rPr>
        <w:t>Clear Procedures</w:t>
      </w:r>
      <w:r w:rsidRPr="00C23586">
        <w:t>: We have clear, written procedures for all aspects of assessment, including exam administration, marking, and feedback. These are regularly reviewed and communicated to all staff, learners, and examiners.</w:t>
      </w:r>
    </w:p>
    <w:p w14:paraId="63A299B8" w14:textId="77777777" w:rsidR="00C23586" w:rsidRPr="00C23586" w:rsidRDefault="00C23586" w:rsidP="00C23586">
      <w:pPr>
        <w:numPr>
          <w:ilvl w:val="0"/>
          <w:numId w:val="1"/>
        </w:numPr>
      </w:pPr>
      <w:r w:rsidRPr="00C23586">
        <w:rPr>
          <w:b/>
          <w:bCs/>
        </w:rPr>
        <w:t>Vigilance</w:t>
      </w:r>
      <w:r w:rsidRPr="00C23586">
        <w:t>: Our staff members are trained to be vigilant to any signs of malpractice or maladministration. This includes watching for unusual patterns of behaviour or irregularities in exam processes.</w:t>
      </w:r>
    </w:p>
    <w:p w14:paraId="6FF0067A" w14:textId="77777777" w:rsidR="00C23586" w:rsidRPr="00C23586" w:rsidRDefault="00C23586" w:rsidP="00C23586">
      <w:pPr>
        <w:numPr>
          <w:ilvl w:val="0"/>
          <w:numId w:val="1"/>
        </w:numPr>
      </w:pPr>
      <w:r w:rsidRPr="00C23586">
        <w:rPr>
          <w:b/>
          <w:bCs/>
        </w:rPr>
        <w:t>Learner and Staff Feedback</w:t>
      </w:r>
      <w:r w:rsidRPr="00C23586">
        <w:t>: We encourage open communication and feedback from learners and staff, which helps to identify any concerns or inconsistencies that might indicate malpractice or maladministration.</w:t>
      </w:r>
    </w:p>
    <w:p w14:paraId="66355FF8" w14:textId="77777777" w:rsidR="00C23586" w:rsidRPr="00C23586" w:rsidRDefault="00C23586" w:rsidP="00C23586">
      <w:pPr>
        <w:numPr>
          <w:ilvl w:val="0"/>
          <w:numId w:val="1"/>
        </w:numPr>
      </w:pPr>
      <w:r w:rsidRPr="00C23586">
        <w:rPr>
          <w:b/>
          <w:bCs/>
        </w:rPr>
        <w:t>Regular Audits and Reviews</w:t>
      </w:r>
      <w:r w:rsidRPr="00C23586">
        <w:t>: We conduct regular internal audits of our examination procedures, assessments, and outcomes to identify any potential problems.</w:t>
      </w:r>
    </w:p>
    <w:p w14:paraId="28AF8B6E" w14:textId="77777777" w:rsidR="00C23586" w:rsidRPr="00C23586" w:rsidRDefault="00C23586" w:rsidP="00C23586">
      <w:r w:rsidRPr="00C23586">
        <w:rPr>
          <w:b/>
          <w:bCs/>
        </w:rPr>
        <w:t>3. Measures to Monitor Behaviour Before, During, and After Exams</w:t>
      </w:r>
    </w:p>
    <w:p w14:paraId="7184C8BC" w14:textId="77777777" w:rsidR="00C23586" w:rsidRPr="00C23586" w:rsidRDefault="00C23586" w:rsidP="00C23586">
      <w:r w:rsidRPr="00C23586">
        <w:t>To ensure a fair and secure exam environment, we have the following measures in place to monitor behaviour before, during, and after exams:</w:t>
      </w:r>
    </w:p>
    <w:p w14:paraId="0E15C2F8" w14:textId="77777777" w:rsidR="00C23586" w:rsidRPr="00C23586" w:rsidRDefault="00C23586" w:rsidP="00C23586">
      <w:pPr>
        <w:numPr>
          <w:ilvl w:val="0"/>
          <w:numId w:val="2"/>
        </w:numPr>
      </w:pPr>
      <w:r w:rsidRPr="00C23586">
        <w:rPr>
          <w:b/>
          <w:bCs/>
        </w:rPr>
        <w:t>Pre-Exam Procedures</w:t>
      </w:r>
      <w:r w:rsidRPr="00C23586">
        <w:t>: Before exams, learners and staff are reminded of the exam rules and expectations regarding behaviour. This includes prohibiting the use of unauthorised materials, cheating, or any form of deception. We ensure that learners are fully aware of what is expected of them.</w:t>
      </w:r>
    </w:p>
    <w:p w14:paraId="73E56282" w14:textId="77777777" w:rsidR="00C23586" w:rsidRPr="00C23586" w:rsidRDefault="00C23586" w:rsidP="00C23586">
      <w:pPr>
        <w:numPr>
          <w:ilvl w:val="0"/>
          <w:numId w:val="2"/>
        </w:numPr>
      </w:pPr>
      <w:r w:rsidRPr="00C23586">
        <w:rPr>
          <w:b/>
          <w:bCs/>
        </w:rPr>
        <w:t>During the Exam</w:t>
      </w:r>
      <w:r w:rsidRPr="00C23586">
        <w:t>: During all assessments, we ensure that exams are conducted under the supervision of fully trained, qualified members of our team. No exams will take place in our Centre unless there is adequate supervision by an experienced staff member who is aware of the rules and protocols for the assessment.</w:t>
      </w:r>
    </w:p>
    <w:p w14:paraId="4200FAD4" w14:textId="77777777" w:rsidR="00C23586" w:rsidRPr="00C23586" w:rsidRDefault="00C23586" w:rsidP="00C23586">
      <w:pPr>
        <w:numPr>
          <w:ilvl w:val="0"/>
          <w:numId w:val="2"/>
        </w:numPr>
      </w:pPr>
      <w:r w:rsidRPr="00C23586">
        <w:rPr>
          <w:b/>
          <w:bCs/>
        </w:rPr>
        <w:t>Post-Exam Monitoring</w:t>
      </w:r>
      <w:r w:rsidRPr="00C23586">
        <w:t>: After exams, we review the results and feedback from both examiners and learners. Any irregularities, such as complaints or concerns raised by examiners, staff, or learners, are carefully examined to identify possible malpractice or maladministration.</w:t>
      </w:r>
    </w:p>
    <w:p w14:paraId="3AA37C8B" w14:textId="77777777" w:rsidR="00C23586" w:rsidRPr="00C23586" w:rsidRDefault="00C23586" w:rsidP="00C23586">
      <w:r w:rsidRPr="00C23586">
        <w:rPr>
          <w:b/>
          <w:bCs/>
        </w:rPr>
        <w:lastRenderedPageBreak/>
        <w:t>4. Ensuring Staff Understanding of Malpractice and Maladministration</w:t>
      </w:r>
    </w:p>
    <w:p w14:paraId="2CEDBF0F" w14:textId="77777777" w:rsidR="00C23586" w:rsidRPr="00C23586" w:rsidRDefault="00C23586" w:rsidP="00C23586">
      <w:r w:rsidRPr="00C23586">
        <w:t xml:space="preserve">We ensure that our team members understand what constitutes malpractice and </w:t>
      </w:r>
      <w:proofErr w:type="gramStart"/>
      <w:r w:rsidRPr="00C23586">
        <w:t>maladministration, and</w:t>
      </w:r>
      <w:proofErr w:type="gramEnd"/>
      <w:r w:rsidRPr="00C23586">
        <w:t xml:space="preserve"> are trained in how to identify and manage these issues. This is done through:</w:t>
      </w:r>
    </w:p>
    <w:p w14:paraId="37C75EC4" w14:textId="77777777" w:rsidR="00C23586" w:rsidRPr="00C23586" w:rsidRDefault="00C23586" w:rsidP="00C23586">
      <w:pPr>
        <w:numPr>
          <w:ilvl w:val="0"/>
          <w:numId w:val="3"/>
        </w:numPr>
      </w:pPr>
      <w:r w:rsidRPr="00C23586">
        <w:rPr>
          <w:b/>
          <w:bCs/>
        </w:rPr>
        <w:t>Staff Training</w:t>
      </w:r>
      <w:r w:rsidRPr="00C23586">
        <w:t>: All staff, including teaching and administrative staff, are required to complete training on malpractice and maladministration. This training covers what constitutes malpractice and maladministration, the signs to look for, and the procedures for reporting concerns.</w:t>
      </w:r>
    </w:p>
    <w:p w14:paraId="768B6782" w14:textId="77777777" w:rsidR="00C23586" w:rsidRPr="00C23586" w:rsidRDefault="00C23586" w:rsidP="00C23586">
      <w:pPr>
        <w:numPr>
          <w:ilvl w:val="0"/>
          <w:numId w:val="3"/>
        </w:numPr>
      </w:pPr>
      <w:r w:rsidRPr="00C23586">
        <w:rPr>
          <w:b/>
          <w:bCs/>
        </w:rPr>
        <w:t>Clear Guidelines</w:t>
      </w:r>
      <w:r w:rsidRPr="00C23586">
        <w:t>: Our staff have access to detailed guidelines that define malpractice and maladministration. These guidelines explain how to respond if they suspect or observe any irregularities in the assessment process.</w:t>
      </w:r>
    </w:p>
    <w:p w14:paraId="5D0ECC0D" w14:textId="77777777" w:rsidR="00C23586" w:rsidRPr="00C23586" w:rsidRDefault="00C23586" w:rsidP="00C23586">
      <w:pPr>
        <w:numPr>
          <w:ilvl w:val="0"/>
          <w:numId w:val="3"/>
        </w:numPr>
      </w:pPr>
      <w:r w:rsidRPr="00C23586">
        <w:rPr>
          <w:b/>
          <w:bCs/>
        </w:rPr>
        <w:t>Regular Reminders</w:t>
      </w:r>
      <w:r w:rsidRPr="00C23586">
        <w:t xml:space="preserve">: We regularly remind staff of their responsibility to report any </w:t>
      </w:r>
      <w:proofErr w:type="gramStart"/>
      <w:r w:rsidRPr="00C23586">
        <w:t>concerns, and</w:t>
      </w:r>
      <w:proofErr w:type="gramEnd"/>
      <w:r w:rsidRPr="00C23586">
        <w:t xml:space="preserve"> reinforce the importance of maintaining the integrity of the exam process.</w:t>
      </w:r>
    </w:p>
    <w:p w14:paraId="1BB7093C" w14:textId="77777777" w:rsidR="00C23586" w:rsidRPr="00C23586" w:rsidRDefault="00C23586" w:rsidP="00C23586">
      <w:r w:rsidRPr="00C23586">
        <w:rPr>
          <w:b/>
          <w:bCs/>
        </w:rPr>
        <w:t>5. Recording Malpractice or Maladministration</w:t>
      </w:r>
    </w:p>
    <w:p w14:paraId="57E9F599" w14:textId="77777777" w:rsidR="00C23586" w:rsidRPr="00C23586" w:rsidRDefault="00C23586" w:rsidP="00C23586">
      <w:r w:rsidRPr="00C23586">
        <w:t>Any suspected or actual cases of malpractice or maladministration are recorded internally through a secure and confidential process. This includes:</w:t>
      </w:r>
    </w:p>
    <w:p w14:paraId="457FCE44" w14:textId="77777777" w:rsidR="00C23586" w:rsidRPr="00C23586" w:rsidRDefault="00C23586" w:rsidP="00C23586">
      <w:pPr>
        <w:numPr>
          <w:ilvl w:val="0"/>
          <w:numId w:val="4"/>
        </w:numPr>
      </w:pPr>
      <w:r w:rsidRPr="00C23586">
        <w:rPr>
          <w:b/>
          <w:bCs/>
        </w:rPr>
        <w:t>Incident Reports</w:t>
      </w:r>
      <w:r w:rsidRPr="00C23586">
        <w:t>: When a concern is identified, an incident report is completed, detailing the nature of the suspected malpractice or maladministration, the parties involved, and the steps taken to address the issue.</w:t>
      </w:r>
    </w:p>
    <w:p w14:paraId="5318DED1" w14:textId="77777777" w:rsidR="00C23586" w:rsidRPr="00C23586" w:rsidRDefault="00C23586" w:rsidP="00C23586">
      <w:pPr>
        <w:numPr>
          <w:ilvl w:val="0"/>
          <w:numId w:val="4"/>
        </w:numPr>
      </w:pPr>
      <w:r w:rsidRPr="00C23586">
        <w:rPr>
          <w:b/>
          <w:bCs/>
        </w:rPr>
        <w:t>Record Retention</w:t>
      </w:r>
      <w:r w:rsidRPr="00C23586">
        <w:t xml:space="preserve">: All incident reports are stored securely and are retained for a specified </w:t>
      </w:r>
      <w:proofErr w:type="gramStart"/>
      <w:r w:rsidRPr="00C23586">
        <w:t>period of time</w:t>
      </w:r>
      <w:proofErr w:type="gramEnd"/>
      <w:r w:rsidRPr="00C23586">
        <w:t xml:space="preserve"> in accordance with our data protection and record-keeping policies.</w:t>
      </w:r>
    </w:p>
    <w:p w14:paraId="7C28E924" w14:textId="77777777" w:rsidR="00C23586" w:rsidRPr="00C23586" w:rsidRDefault="00C23586" w:rsidP="00C23586">
      <w:pPr>
        <w:numPr>
          <w:ilvl w:val="0"/>
          <w:numId w:val="4"/>
        </w:numPr>
      </w:pPr>
      <w:r w:rsidRPr="00C23586">
        <w:rPr>
          <w:b/>
          <w:bCs/>
        </w:rPr>
        <w:t>Tracking and Monitoring</w:t>
      </w:r>
      <w:r w:rsidRPr="00C23586">
        <w:t>: A log of all malpractice and maladministration incidents is maintained and reviewed periodically to identify trends or recurring issues.</w:t>
      </w:r>
    </w:p>
    <w:p w14:paraId="4884F586" w14:textId="77777777" w:rsidR="00C23586" w:rsidRPr="00C23586" w:rsidRDefault="00C23586" w:rsidP="00C23586">
      <w:r w:rsidRPr="00C23586">
        <w:rPr>
          <w:b/>
          <w:bCs/>
        </w:rPr>
        <w:t>6. Investigating Malpractice or Maladministration</w:t>
      </w:r>
    </w:p>
    <w:p w14:paraId="2FCC01CD" w14:textId="77777777" w:rsidR="00C23586" w:rsidRPr="00C23586" w:rsidRDefault="00C23586" w:rsidP="00C23586">
      <w:r w:rsidRPr="00C23586">
        <w:t>When an incident of suspected malpractice or maladministration is reported, the following steps are taken:</w:t>
      </w:r>
    </w:p>
    <w:p w14:paraId="406DF36F" w14:textId="77777777" w:rsidR="00C23586" w:rsidRPr="00C23586" w:rsidRDefault="00C23586" w:rsidP="00C23586">
      <w:pPr>
        <w:numPr>
          <w:ilvl w:val="0"/>
          <w:numId w:val="5"/>
        </w:numPr>
      </w:pPr>
      <w:r w:rsidRPr="00C23586">
        <w:rPr>
          <w:b/>
          <w:bCs/>
        </w:rPr>
        <w:t>Initial Assessment</w:t>
      </w:r>
      <w:r w:rsidRPr="00C23586">
        <w:t>: The designated Safeguarding Lead or Head of Examinations conducts an initial assessment of the situation. This includes reviewing the incident report and gathering relevant information from all parties involved.</w:t>
      </w:r>
    </w:p>
    <w:p w14:paraId="5520BA9F" w14:textId="77777777" w:rsidR="00C23586" w:rsidRPr="00C23586" w:rsidRDefault="00C23586" w:rsidP="00C23586">
      <w:pPr>
        <w:numPr>
          <w:ilvl w:val="0"/>
          <w:numId w:val="5"/>
        </w:numPr>
      </w:pPr>
      <w:r w:rsidRPr="00C23586">
        <w:rPr>
          <w:b/>
          <w:bCs/>
        </w:rPr>
        <w:t>Investigation</w:t>
      </w:r>
      <w:r w:rsidRPr="00C23586">
        <w:t>: If the initial assessment indicates that further investigation is required, a thorough investigation is carried out. This may involve interviewing the individuals involved (e.g., learners, teachers, examiners, or administrators), reviewing relevant documentation, and gathering evidence.</w:t>
      </w:r>
    </w:p>
    <w:p w14:paraId="63A442AC" w14:textId="77777777" w:rsidR="00C23586" w:rsidRPr="00C23586" w:rsidRDefault="00C23586" w:rsidP="00C23586">
      <w:pPr>
        <w:numPr>
          <w:ilvl w:val="0"/>
          <w:numId w:val="5"/>
        </w:numPr>
      </w:pPr>
      <w:r w:rsidRPr="00C23586">
        <w:rPr>
          <w:b/>
          <w:bCs/>
        </w:rPr>
        <w:t>Action</w:t>
      </w:r>
      <w:r w:rsidRPr="00C23586">
        <w:t>: Depending on the findings, appropriate action is taken. This may include corrective measures, re-assessment, or disciplinary action. Any measures are implemented in a way that ensures fairness and transparency.</w:t>
      </w:r>
    </w:p>
    <w:p w14:paraId="2F9EA351" w14:textId="77777777" w:rsidR="00C23586" w:rsidRPr="00C23586" w:rsidRDefault="00C23586" w:rsidP="00C23586">
      <w:r w:rsidRPr="00C23586">
        <w:rPr>
          <w:b/>
          <w:bCs/>
        </w:rPr>
        <w:t>7. Reporting Malpractice or Maladministration</w:t>
      </w:r>
    </w:p>
    <w:p w14:paraId="73EC244D" w14:textId="77777777" w:rsidR="00C23586" w:rsidRPr="00C23586" w:rsidRDefault="00C23586" w:rsidP="00C23586">
      <w:r w:rsidRPr="00C23586">
        <w:lastRenderedPageBreak/>
        <w:t>All incidents of potential or actual malpractice or maladministration must be reported through the following mechanism:</w:t>
      </w:r>
    </w:p>
    <w:p w14:paraId="4539A1EC" w14:textId="77777777" w:rsidR="00C23586" w:rsidRPr="00C23586" w:rsidRDefault="00C23586" w:rsidP="00C23586">
      <w:pPr>
        <w:numPr>
          <w:ilvl w:val="0"/>
          <w:numId w:val="6"/>
        </w:numPr>
      </w:pPr>
      <w:r w:rsidRPr="00C23586">
        <w:rPr>
          <w:b/>
          <w:bCs/>
        </w:rPr>
        <w:t>Internal Reporting</w:t>
      </w:r>
      <w:r w:rsidRPr="00C23586">
        <w:t>: Staff, learners, or other stakeholders who suspect or observe malpractice or maladministration should report it immediately to the designated safeguarding lead or Head of Examinations. Reports can be made in writing, via email, or by phone.</w:t>
      </w:r>
    </w:p>
    <w:p w14:paraId="4F05AFA1" w14:textId="77777777" w:rsidR="00C23586" w:rsidRPr="00C23586" w:rsidRDefault="00C23586" w:rsidP="00C23586">
      <w:pPr>
        <w:numPr>
          <w:ilvl w:val="0"/>
          <w:numId w:val="6"/>
        </w:numPr>
      </w:pPr>
      <w:r w:rsidRPr="00C23586">
        <w:rPr>
          <w:b/>
          <w:bCs/>
        </w:rPr>
        <w:t>Confidentiality</w:t>
      </w:r>
      <w:r w:rsidRPr="00C23586">
        <w:t>: Reports are handled confidentially, with only those involved in the investigation having access to sensitive information. Whistleblowers are protected against retaliation.</w:t>
      </w:r>
    </w:p>
    <w:p w14:paraId="282F859D" w14:textId="77777777" w:rsidR="00C23586" w:rsidRPr="00C23586" w:rsidRDefault="00C23586" w:rsidP="00C23586">
      <w:r w:rsidRPr="00C23586">
        <w:rPr>
          <w:b/>
          <w:bCs/>
        </w:rPr>
        <w:t>8. Reporting to LAMDA</w:t>
      </w:r>
    </w:p>
    <w:p w14:paraId="42258E82" w14:textId="77777777" w:rsidR="00C23586" w:rsidRPr="00C23586" w:rsidRDefault="00C23586" w:rsidP="00C23586">
      <w:r w:rsidRPr="00C23586">
        <w:t>We take our responsibilities seriously when it comes to reporting malpractice or maladministration to LAMDA, especially when it could affect the integrity of the exam process or the learner’s outcome. We will report any suspected or confirmed cases of malpractice or maladministration to LAMDA if:</w:t>
      </w:r>
    </w:p>
    <w:p w14:paraId="35D8ED17" w14:textId="77777777" w:rsidR="00C23586" w:rsidRPr="00C23586" w:rsidRDefault="00C23586" w:rsidP="00C23586">
      <w:pPr>
        <w:numPr>
          <w:ilvl w:val="0"/>
          <w:numId w:val="7"/>
        </w:numPr>
      </w:pPr>
      <w:r w:rsidRPr="00C23586">
        <w:rPr>
          <w:b/>
          <w:bCs/>
        </w:rPr>
        <w:t>Serious Malpractice</w:t>
      </w:r>
      <w:r w:rsidRPr="00C23586">
        <w:t>: The issue affects the fairness of the exam process or the integrity of the qualification.</w:t>
      </w:r>
    </w:p>
    <w:p w14:paraId="5E0C595B" w14:textId="77777777" w:rsidR="00C23586" w:rsidRPr="00C23586" w:rsidRDefault="00C23586" w:rsidP="00C23586">
      <w:pPr>
        <w:numPr>
          <w:ilvl w:val="0"/>
          <w:numId w:val="7"/>
        </w:numPr>
      </w:pPr>
      <w:r w:rsidRPr="00C23586">
        <w:rPr>
          <w:b/>
          <w:bCs/>
        </w:rPr>
        <w:t>Regulatory Requirement</w:t>
      </w:r>
      <w:r w:rsidRPr="00C23586">
        <w:t>: We are required to notify LAMDA under their regulatory guidelines, particularly if the incident could impact multiple learners or if an examiner or other third party is involved.</w:t>
      </w:r>
    </w:p>
    <w:p w14:paraId="1ACCD546" w14:textId="77777777" w:rsidR="00C23586" w:rsidRPr="00C23586" w:rsidRDefault="00C23586" w:rsidP="00C23586">
      <w:pPr>
        <w:numPr>
          <w:ilvl w:val="0"/>
          <w:numId w:val="7"/>
        </w:numPr>
      </w:pPr>
      <w:r w:rsidRPr="00C23586">
        <w:rPr>
          <w:b/>
          <w:bCs/>
        </w:rPr>
        <w:t>Systemic Issues</w:t>
      </w:r>
      <w:r w:rsidRPr="00C23586">
        <w:t>: If we identify that a pattern of malpractice or maladministration exists, we will notify LAMDA immediately to address the issue comprehensively.</w:t>
      </w:r>
    </w:p>
    <w:p w14:paraId="3F1E9068" w14:textId="77777777" w:rsidR="00C23586" w:rsidRPr="00C23586" w:rsidRDefault="00C23586" w:rsidP="00C23586">
      <w:r w:rsidRPr="00C23586">
        <w:rPr>
          <w:b/>
          <w:bCs/>
        </w:rPr>
        <w:t>9. How to Report to LAMDA</w:t>
      </w:r>
    </w:p>
    <w:p w14:paraId="1296C58B" w14:textId="77777777" w:rsidR="00C23586" w:rsidRPr="00C23586" w:rsidRDefault="00C23586" w:rsidP="00C23586">
      <w:r w:rsidRPr="00C23586">
        <w:t>In the event of a potential or actual malpractice or maladministration, the following steps will be followed to report it to LAMDA:</w:t>
      </w:r>
    </w:p>
    <w:p w14:paraId="3D251E38" w14:textId="77777777" w:rsidR="00C23586" w:rsidRPr="00C23586" w:rsidRDefault="00C23586" w:rsidP="00C23586">
      <w:pPr>
        <w:numPr>
          <w:ilvl w:val="0"/>
          <w:numId w:val="8"/>
        </w:numPr>
      </w:pPr>
      <w:r w:rsidRPr="00C23586">
        <w:rPr>
          <w:b/>
          <w:bCs/>
        </w:rPr>
        <w:t>Written Report</w:t>
      </w:r>
      <w:r w:rsidRPr="00C23586">
        <w:t>: A formal written report will be submitted to LAMDA, outlining the details of the incident, the steps taken to investigate and address the issue, and any outcomes or corrective actions.</w:t>
      </w:r>
    </w:p>
    <w:p w14:paraId="54051113" w14:textId="77777777" w:rsidR="00C23586" w:rsidRPr="00C23586" w:rsidRDefault="00C23586" w:rsidP="00C23586">
      <w:pPr>
        <w:numPr>
          <w:ilvl w:val="0"/>
          <w:numId w:val="8"/>
        </w:numPr>
      </w:pPr>
      <w:r w:rsidRPr="00C23586">
        <w:rPr>
          <w:b/>
          <w:bCs/>
        </w:rPr>
        <w:t>Timeliness</w:t>
      </w:r>
      <w:r w:rsidRPr="00C23586">
        <w:t>: Reports will be submitted to LAMDA as soon as possible, in line with their reporting requirements and within any specified deadlines.</w:t>
      </w:r>
    </w:p>
    <w:p w14:paraId="616CF1B9" w14:textId="77777777" w:rsidR="00C23586" w:rsidRPr="00C23586" w:rsidRDefault="00C23586" w:rsidP="00C23586">
      <w:pPr>
        <w:numPr>
          <w:ilvl w:val="0"/>
          <w:numId w:val="8"/>
        </w:numPr>
      </w:pPr>
      <w:r w:rsidRPr="00C23586">
        <w:rPr>
          <w:b/>
          <w:bCs/>
        </w:rPr>
        <w:t>Ongoing Communication</w:t>
      </w:r>
      <w:r w:rsidRPr="00C23586">
        <w:t>: We will maintain open lines of communication with LAMDA throughout the investigation and resolution process, providing updates as necessary and addressing any further concerns raised by LAMDA.</w:t>
      </w:r>
    </w:p>
    <w:p w14:paraId="2B822EA9" w14:textId="77777777" w:rsidR="00C23586" w:rsidRPr="00C23586" w:rsidRDefault="00C23586" w:rsidP="00C23586">
      <w:r w:rsidRPr="00C23586">
        <w:rPr>
          <w:b/>
          <w:bCs/>
        </w:rPr>
        <w:t>10. Conclusion</w:t>
      </w:r>
    </w:p>
    <w:p w14:paraId="3C44C4D0" w14:textId="77777777" w:rsidR="00C23586" w:rsidRPr="00C23586" w:rsidRDefault="00C23586" w:rsidP="00C23586">
      <w:r w:rsidRPr="00C23586">
        <w:t>Halcyon Performing Arts is committed to upholding the highest standards of integrity and professionalism, particularly in relation to the assessment and examination process. We recognise the importance of preventing malpractice and maladministration, and have clear measures in place to identify, address, and report any potential issues. Through training, clear procedures, and ongoing vigilance, we ensure that all assessments are conducted fairly, and any concerns are dealt with swiftly and transparently.</w:t>
      </w:r>
    </w:p>
    <w:p w14:paraId="353F3AFA" w14:textId="77777777" w:rsidR="00C23586" w:rsidRPr="00C23586" w:rsidRDefault="00C23586" w:rsidP="00C23586">
      <w:r w:rsidRPr="00C23586">
        <w:lastRenderedPageBreak/>
        <w:t>If you have any questions or concerns regarding this policy, please feel free to contact the designated safeguarding lead or the Head of Examinations at Halcyon Performing Arts.</w:t>
      </w:r>
    </w:p>
    <w:p w14:paraId="55C6535F" w14:textId="77777777" w:rsidR="00C23586" w:rsidRPr="00C23586" w:rsidRDefault="00C23586" w:rsidP="00C23586">
      <w:r w:rsidRPr="00C23586">
        <w:pict w14:anchorId="1C4CDC33">
          <v:rect id="_x0000_i1031" style="width:0;height:1.5pt" o:hralign="center" o:hrstd="t" o:hr="t" fillcolor="#a0a0a0" stroked="f"/>
        </w:pict>
      </w:r>
    </w:p>
    <w:p w14:paraId="34795973" w14:textId="77777777" w:rsidR="00C23586" w:rsidRPr="00C23586" w:rsidRDefault="00C23586" w:rsidP="00C23586">
      <w:r w:rsidRPr="00C23586">
        <w:t>This Malpractice and Maladministration Policy ensures that Halcyon Performing Arts maintains fairness and transparency in all assessment and examination processes, aligned with regulatory expectations.</w:t>
      </w:r>
    </w:p>
    <w:p w14:paraId="71837C9D" w14:textId="77777777" w:rsidR="007427E5" w:rsidRDefault="007427E5"/>
    <w:sectPr w:rsidR="0074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7022"/>
    <w:multiLevelType w:val="multilevel"/>
    <w:tmpl w:val="0DD2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47858"/>
    <w:multiLevelType w:val="multilevel"/>
    <w:tmpl w:val="5316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72CC3"/>
    <w:multiLevelType w:val="multilevel"/>
    <w:tmpl w:val="F930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D532AD"/>
    <w:multiLevelType w:val="multilevel"/>
    <w:tmpl w:val="8D50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693372"/>
    <w:multiLevelType w:val="multilevel"/>
    <w:tmpl w:val="9602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800412"/>
    <w:multiLevelType w:val="multilevel"/>
    <w:tmpl w:val="CC88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F31ED7"/>
    <w:multiLevelType w:val="multilevel"/>
    <w:tmpl w:val="A230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DF58B1"/>
    <w:multiLevelType w:val="multilevel"/>
    <w:tmpl w:val="73E6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0264887">
    <w:abstractNumId w:val="0"/>
  </w:num>
  <w:num w:numId="2" w16cid:durableId="1547445171">
    <w:abstractNumId w:val="1"/>
  </w:num>
  <w:num w:numId="3" w16cid:durableId="1262374259">
    <w:abstractNumId w:val="4"/>
  </w:num>
  <w:num w:numId="4" w16cid:durableId="101921408">
    <w:abstractNumId w:val="6"/>
  </w:num>
  <w:num w:numId="5" w16cid:durableId="1628855181">
    <w:abstractNumId w:val="2"/>
  </w:num>
  <w:num w:numId="6" w16cid:durableId="578758542">
    <w:abstractNumId w:val="7"/>
  </w:num>
  <w:num w:numId="7" w16cid:durableId="515968730">
    <w:abstractNumId w:val="3"/>
  </w:num>
  <w:num w:numId="8" w16cid:durableId="19637287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86"/>
    <w:rsid w:val="007427E5"/>
    <w:rsid w:val="00C23586"/>
    <w:rsid w:val="00D92074"/>
    <w:rsid w:val="00ED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7720"/>
  <w15:chartTrackingRefBased/>
  <w15:docId w15:val="{D743238D-1031-461A-80DE-5CC72046B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5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5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5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5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5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5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5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5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5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586"/>
    <w:rPr>
      <w:rFonts w:eastAsiaTheme="majorEastAsia" w:cstheme="majorBidi"/>
      <w:color w:val="272727" w:themeColor="text1" w:themeTint="D8"/>
    </w:rPr>
  </w:style>
  <w:style w:type="paragraph" w:styleId="Title">
    <w:name w:val="Title"/>
    <w:basedOn w:val="Normal"/>
    <w:next w:val="Normal"/>
    <w:link w:val="TitleChar"/>
    <w:uiPriority w:val="10"/>
    <w:qFormat/>
    <w:rsid w:val="00C23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586"/>
    <w:pPr>
      <w:spacing w:before="160"/>
      <w:jc w:val="center"/>
    </w:pPr>
    <w:rPr>
      <w:i/>
      <w:iCs/>
      <w:color w:val="404040" w:themeColor="text1" w:themeTint="BF"/>
    </w:rPr>
  </w:style>
  <w:style w:type="character" w:customStyle="1" w:styleId="QuoteChar">
    <w:name w:val="Quote Char"/>
    <w:basedOn w:val="DefaultParagraphFont"/>
    <w:link w:val="Quote"/>
    <w:uiPriority w:val="29"/>
    <w:rsid w:val="00C23586"/>
    <w:rPr>
      <w:i/>
      <w:iCs/>
      <w:color w:val="404040" w:themeColor="text1" w:themeTint="BF"/>
    </w:rPr>
  </w:style>
  <w:style w:type="paragraph" w:styleId="ListParagraph">
    <w:name w:val="List Paragraph"/>
    <w:basedOn w:val="Normal"/>
    <w:uiPriority w:val="34"/>
    <w:qFormat/>
    <w:rsid w:val="00C23586"/>
    <w:pPr>
      <w:ind w:left="720"/>
      <w:contextualSpacing/>
    </w:pPr>
  </w:style>
  <w:style w:type="character" w:styleId="IntenseEmphasis">
    <w:name w:val="Intense Emphasis"/>
    <w:basedOn w:val="DefaultParagraphFont"/>
    <w:uiPriority w:val="21"/>
    <w:qFormat/>
    <w:rsid w:val="00C23586"/>
    <w:rPr>
      <w:i/>
      <w:iCs/>
      <w:color w:val="0F4761" w:themeColor="accent1" w:themeShade="BF"/>
    </w:rPr>
  </w:style>
  <w:style w:type="paragraph" w:styleId="IntenseQuote">
    <w:name w:val="Intense Quote"/>
    <w:basedOn w:val="Normal"/>
    <w:next w:val="Normal"/>
    <w:link w:val="IntenseQuoteChar"/>
    <w:uiPriority w:val="30"/>
    <w:qFormat/>
    <w:rsid w:val="00C23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586"/>
    <w:rPr>
      <w:i/>
      <w:iCs/>
      <w:color w:val="0F4761" w:themeColor="accent1" w:themeShade="BF"/>
    </w:rPr>
  </w:style>
  <w:style w:type="character" w:styleId="IntenseReference">
    <w:name w:val="Intense Reference"/>
    <w:basedOn w:val="DefaultParagraphFont"/>
    <w:uiPriority w:val="32"/>
    <w:qFormat/>
    <w:rsid w:val="00C235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274383">
      <w:bodyDiv w:val="1"/>
      <w:marLeft w:val="0"/>
      <w:marRight w:val="0"/>
      <w:marTop w:val="0"/>
      <w:marBottom w:val="0"/>
      <w:divBdr>
        <w:top w:val="none" w:sz="0" w:space="0" w:color="auto"/>
        <w:left w:val="none" w:sz="0" w:space="0" w:color="auto"/>
        <w:bottom w:val="none" w:sz="0" w:space="0" w:color="auto"/>
        <w:right w:val="none" w:sz="0" w:space="0" w:color="auto"/>
      </w:divBdr>
    </w:div>
    <w:div w:id="11559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7217</Characters>
  <Application>Microsoft Office Word</Application>
  <DocSecurity>0</DocSecurity>
  <Lines>60</Lines>
  <Paragraphs>16</Paragraphs>
  <ScaleCrop>false</ScaleCrop>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Chinery</dc:creator>
  <cp:keywords/>
  <dc:description/>
  <cp:lastModifiedBy>Lula Chinery</cp:lastModifiedBy>
  <cp:revision>1</cp:revision>
  <dcterms:created xsi:type="dcterms:W3CDTF">2025-01-09T15:20:00Z</dcterms:created>
  <dcterms:modified xsi:type="dcterms:W3CDTF">2025-01-09T15:20:00Z</dcterms:modified>
</cp:coreProperties>
</file>